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70F64" w14:textId="79D59FCD" w:rsidR="00D10E11" w:rsidRPr="00D10E11" w:rsidRDefault="00D10E11" w:rsidP="00D10E11">
      <w:pPr>
        <w:jc w:val="center"/>
        <w:rPr>
          <w:b/>
          <w:bCs/>
          <w:sz w:val="28"/>
          <w:szCs w:val="28"/>
          <w:u w:val="single"/>
        </w:rPr>
      </w:pPr>
      <w:r w:rsidRPr="00D10E11">
        <w:rPr>
          <w:b/>
          <w:bCs/>
          <w:sz w:val="28"/>
          <w:szCs w:val="28"/>
          <w:u w:val="single"/>
        </w:rPr>
        <w:t>Regroupement de plusieurs projets d’aliénation de chemins ruraux</w:t>
      </w:r>
    </w:p>
    <w:p w14:paraId="641CD9FC" w14:textId="594E8DE9" w:rsidR="00D10E11" w:rsidRPr="00D10E11" w:rsidRDefault="00D10E11" w:rsidP="00D10E11">
      <w:pPr>
        <w:jc w:val="both"/>
      </w:pPr>
      <w:r w:rsidRPr="00D10E11">
        <w:t xml:space="preserve">L'affirmation selon laquelle plusieurs projets d'aliénation de chemins ruraux ne peuvent être regroupés dans une même enquête publique est </w:t>
      </w:r>
      <w:r w:rsidRPr="00D10E11">
        <w:rPr>
          <w:b/>
          <w:bCs/>
        </w:rPr>
        <w:t>inexacte</w:t>
      </w:r>
      <w:r w:rsidRPr="00D10E11">
        <w:t>. Il est tout à fait possible de regrouper plusieurs projets dans une seule enquête, à condition que cela soit clairement motivé et juridiquement encadré.</w:t>
      </w:r>
    </w:p>
    <w:p w14:paraId="41E38FC2" w14:textId="74451252" w:rsidR="00D10E11" w:rsidRPr="00D10E11" w:rsidRDefault="00D10E11" w:rsidP="00D10E11">
      <w:pPr>
        <w:jc w:val="both"/>
        <w:rPr>
          <w:b/>
          <w:bCs/>
        </w:rPr>
      </w:pPr>
      <w:r w:rsidRPr="00D10E11">
        <w:rPr>
          <w:b/>
          <w:bCs/>
        </w:rPr>
        <w:t>Références juridiques</w:t>
      </w:r>
    </w:p>
    <w:p w14:paraId="520EDEF1" w14:textId="77777777" w:rsidR="00D10E11" w:rsidRPr="00D10E11" w:rsidRDefault="00D10E11" w:rsidP="00D10E11">
      <w:pPr>
        <w:jc w:val="both"/>
      </w:pPr>
      <w:r w:rsidRPr="00D10E11">
        <w:t>Voici les textes et principes qui encadrent cette possibilité :</w:t>
      </w:r>
    </w:p>
    <w:p w14:paraId="1F8B98BF" w14:textId="77777777" w:rsidR="00D10E11" w:rsidRPr="00D10E11" w:rsidRDefault="00D10E11" w:rsidP="00D10E11">
      <w:pPr>
        <w:jc w:val="both"/>
        <w:rPr>
          <w:sz w:val="24"/>
          <w:szCs w:val="24"/>
        </w:rPr>
      </w:pPr>
      <w:r w:rsidRPr="00D10E11">
        <w:rPr>
          <w:sz w:val="24"/>
          <w:szCs w:val="24"/>
        </w:rPr>
        <w:t xml:space="preserve">1. </w:t>
      </w:r>
      <w:r w:rsidRPr="00D10E11">
        <w:rPr>
          <w:b/>
          <w:bCs/>
          <w:sz w:val="24"/>
          <w:szCs w:val="24"/>
        </w:rPr>
        <w:t>Décret n° 2015-955 du 31 juillet 2015</w:t>
      </w:r>
    </w:p>
    <w:p w14:paraId="496F9F05" w14:textId="77777777" w:rsidR="00D10E11" w:rsidRPr="00D10E11" w:rsidRDefault="00D10E11" w:rsidP="00D10E11">
      <w:pPr>
        <w:jc w:val="both"/>
      </w:pPr>
      <w:r w:rsidRPr="00D10E11">
        <w:t xml:space="preserve">Ce décret fixe les modalités de l’enquête publique préalable à l’aliénation des chemins ruraux. Il ne contient </w:t>
      </w:r>
      <w:r w:rsidRPr="00D10E11">
        <w:rPr>
          <w:b/>
          <w:bCs/>
        </w:rPr>
        <w:t>aucune interdiction</w:t>
      </w:r>
      <w:r w:rsidRPr="00D10E11">
        <w:t xml:space="preserve"> de regrouper plusieurs projets dans une même procédure. Au contraire, il prévoit que l’enquête doit porter sur les projets d’aliénation, sans limiter leur nombre.</w:t>
      </w:r>
    </w:p>
    <w:p w14:paraId="5A344F2B" w14:textId="77777777" w:rsidR="00D10E11" w:rsidRPr="00D10E11" w:rsidRDefault="00D10E11" w:rsidP="00D10E11">
      <w:pPr>
        <w:jc w:val="both"/>
        <w:rPr>
          <w:sz w:val="24"/>
          <w:szCs w:val="24"/>
        </w:rPr>
      </w:pPr>
      <w:r w:rsidRPr="00D10E11">
        <w:rPr>
          <w:sz w:val="24"/>
          <w:szCs w:val="24"/>
        </w:rPr>
        <w:t xml:space="preserve">2. </w:t>
      </w:r>
      <w:r w:rsidRPr="00D10E11">
        <w:rPr>
          <w:b/>
          <w:bCs/>
          <w:sz w:val="24"/>
          <w:szCs w:val="24"/>
        </w:rPr>
        <w:t>Code rural et de la pêche maritime</w:t>
      </w:r>
    </w:p>
    <w:p w14:paraId="7CA60933" w14:textId="77777777" w:rsidR="00D10E11" w:rsidRDefault="00D10E11" w:rsidP="00D10E11">
      <w:pPr>
        <w:numPr>
          <w:ilvl w:val="0"/>
          <w:numId w:val="1"/>
        </w:numPr>
        <w:jc w:val="both"/>
      </w:pPr>
      <w:r w:rsidRPr="00D10E11">
        <w:rPr>
          <w:b/>
          <w:bCs/>
        </w:rPr>
        <w:t>Article L161-1 à L161-10</w:t>
      </w:r>
      <w:r w:rsidRPr="00D10E11">
        <w:t xml:space="preserve"> : définissent les chemins ruraux et les conditions de leur aliénation.</w:t>
      </w:r>
    </w:p>
    <w:p w14:paraId="3BBBA6A7" w14:textId="2184BC0C" w:rsidR="00D10E11" w:rsidRPr="00D10E11" w:rsidRDefault="00D10E11" w:rsidP="00D10E11">
      <w:pPr>
        <w:numPr>
          <w:ilvl w:val="0"/>
          <w:numId w:val="1"/>
        </w:numPr>
        <w:jc w:val="both"/>
      </w:pPr>
      <w:r w:rsidRPr="00D10E11">
        <w:rPr>
          <w:b/>
          <w:bCs/>
        </w:rPr>
        <w:t>Article R161-11-1 à R161-11-4</w:t>
      </w:r>
      <w:r w:rsidRPr="00D10E11">
        <w:t xml:space="preserve"> : précisent les modalités de l’enquête publique. Là encore, aucune disposition n’interdit le regroupement de plusieurs projets, tant que les informations sont claires et accessibles au public.</w:t>
      </w:r>
    </w:p>
    <w:p w14:paraId="28F5212C" w14:textId="77777777" w:rsidR="00D10E11" w:rsidRPr="00D10E11" w:rsidRDefault="00D10E11" w:rsidP="00D10E11">
      <w:pPr>
        <w:jc w:val="both"/>
        <w:rPr>
          <w:sz w:val="24"/>
          <w:szCs w:val="24"/>
        </w:rPr>
      </w:pPr>
      <w:r w:rsidRPr="00D10E11">
        <w:rPr>
          <w:sz w:val="24"/>
          <w:szCs w:val="24"/>
        </w:rPr>
        <w:t xml:space="preserve">3. </w:t>
      </w:r>
      <w:r w:rsidRPr="00D10E11">
        <w:rPr>
          <w:b/>
          <w:bCs/>
          <w:sz w:val="24"/>
          <w:szCs w:val="24"/>
        </w:rPr>
        <w:t>Pratique administrative</w:t>
      </w:r>
    </w:p>
    <w:p w14:paraId="5F0659EB" w14:textId="77777777" w:rsidR="00D10E11" w:rsidRPr="00D10E11" w:rsidRDefault="00D10E11" w:rsidP="00D10E11">
      <w:pPr>
        <w:jc w:val="both"/>
      </w:pPr>
      <w:r w:rsidRPr="00D10E11">
        <w:t>Des exemples concrets montrent que des communes regroupent plusieurs projets dans une même enquête, comme dans le dossier d’Ingré (Loiret), où deux chemins ruraux ont été inclus dans une seule procédure.</w:t>
      </w:r>
    </w:p>
    <w:p w14:paraId="11B46A69" w14:textId="2A2C23F8" w:rsidR="00D10E11" w:rsidRPr="00D10E11" w:rsidRDefault="00D10E11" w:rsidP="00D10E11">
      <w:pPr>
        <w:jc w:val="both"/>
      </w:pPr>
      <w:r w:rsidRPr="00D10E11">
        <w:t>Conditions à respecter pour un regroupement</w:t>
      </w:r>
    </w:p>
    <w:p w14:paraId="5162F00C" w14:textId="77777777" w:rsidR="00D10E11" w:rsidRPr="00D10E11" w:rsidRDefault="00D10E11" w:rsidP="00D10E11">
      <w:pPr>
        <w:numPr>
          <w:ilvl w:val="0"/>
          <w:numId w:val="2"/>
        </w:numPr>
        <w:jc w:val="both"/>
      </w:pPr>
      <w:r w:rsidRPr="00D10E11">
        <w:rPr>
          <w:b/>
          <w:bCs/>
        </w:rPr>
        <w:t>Clarté du dossier</w:t>
      </w:r>
      <w:r w:rsidRPr="00D10E11">
        <w:t xml:space="preserve"> : chaque projet doit être décrit distinctement.</w:t>
      </w:r>
    </w:p>
    <w:p w14:paraId="5B9FD526" w14:textId="77777777" w:rsidR="00D10E11" w:rsidRPr="00D10E11" w:rsidRDefault="00D10E11" w:rsidP="00D10E11">
      <w:pPr>
        <w:numPr>
          <w:ilvl w:val="0"/>
          <w:numId w:val="2"/>
        </w:numPr>
        <w:jc w:val="both"/>
      </w:pPr>
      <w:r w:rsidRPr="00D10E11">
        <w:rPr>
          <w:b/>
          <w:bCs/>
        </w:rPr>
        <w:t>Motivation du regroupement</w:t>
      </w:r>
      <w:r w:rsidRPr="00D10E11">
        <w:t xml:space="preserve"> : souvent liée à une cohérence géographique ou fonctionnelle.</w:t>
      </w:r>
    </w:p>
    <w:p w14:paraId="1DC0F603" w14:textId="77777777" w:rsidR="00D10E11" w:rsidRPr="00D10E11" w:rsidRDefault="00D10E11" w:rsidP="00D10E11">
      <w:pPr>
        <w:numPr>
          <w:ilvl w:val="0"/>
          <w:numId w:val="2"/>
        </w:numPr>
        <w:jc w:val="both"/>
      </w:pPr>
      <w:r w:rsidRPr="00D10E11">
        <w:rPr>
          <w:b/>
          <w:bCs/>
        </w:rPr>
        <w:t>Transparence pour le public</w:t>
      </w:r>
      <w:r w:rsidRPr="00D10E11">
        <w:t xml:space="preserve"> : les avis, plans et délibérations doivent permettre une compréhension séparée de chaque projet.</w:t>
      </w:r>
    </w:p>
    <w:p w14:paraId="0EAA9773" w14:textId="342A6417" w:rsidR="00D10E11" w:rsidRPr="00D10E11" w:rsidRDefault="00D10E11" w:rsidP="002F4D01">
      <w:pPr>
        <w:pBdr>
          <w:top w:val="single" w:sz="4" w:space="1" w:color="auto"/>
          <w:left w:val="single" w:sz="4" w:space="4" w:color="auto"/>
          <w:bottom w:val="single" w:sz="4" w:space="1" w:color="auto"/>
          <w:right w:val="single" w:sz="4" w:space="4" w:color="auto"/>
        </w:pBdr>
        <w:shd w:val="clear" w:color="auto" w:fill="F2F2F2" w:themeFill="background1" w:themeFillShade="F2"/>
        <w:jc w:val="both"/>
      </w:pPr>
      <w:r w:rsidRPr="00D10E11">
        <w:t xml:space="preserve">En résumé : </w:t>
      </w:r>
      <w:r w:rsidRPr="00D10E11">
        <w:rPr>
          <w:b/>
          <w:bCs/>
        </w:rPr>
        <w:t>le regroupement est légal et pratiqué</w:t>
      </w:r>
      <w:r w:rsidRPr="00D10E11">
        <w:t>, tant que la procédure respecte les exigences de transparence et d'information du public. Si vous souhaitez contester un regroupement, il faut démontrer que celui-ci nuit à la compréhension ou à la participation du public.</w:t>
      </w:r>
    </w:p>
    <w:p w14:paraId="5D78EF0E" w14:textId="77777777" w:rsidR="000654CF" w:rsidRDefault="000654CF"/>
    <w:sectPr w:rsidR="000654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D29E1"/>
    <w:multiLevelType w:val="multilevel"/>
    <w:tmpl w:val="9F86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D53622"/>
    <w:multiLevelType w:val="multilevel"/>
    <w:tmpl w:val="E72E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4306271">
    <w:abstractNumId w:val="1"/>
  </w:num>
  <w:num w:numId="2" w16cid:durableId="1619486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E11"/>
    <w:rsid w:val="000654CF"/>
    <w:rsid w:val="002F4D01"/>
    <w:rsid w:val="005E39F4"/>
    <w:rsid w:val="005F641D"/>
    <w:rsid w:val="00D10E11"/>
    <w:rsid w:val="00DD1975"/>
    <w:rsid w:val="00E40D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718B7"/>
  <w15:chartTrackingRefBased/>
  <w15:docId w15:val="{76186086-5FE6-4718-91FA-82C9E4C8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0E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D10E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D10E11"/>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D10E11"/>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D10E11"/>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D10E1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10E1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10E1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10E1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10E11"/>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D10E11"/>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D10E11"/>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D10E11"/>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D10E11"/>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D10E1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10E1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10E1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10E11"/>
    <w:rPr>
      <w:rFonts w:eastAsiaTheme="majorEastAsia" w:cstheme="majorBidi"/>
      <w:color w:val="272727" w:themeColor="text1" w:themeTint="D8"/>
    </w:rPr>
  </w:style>
  <w:style w:type="paragraph" w:styleId="Titre">
    <w:name w:val="Title"/>
    <w:basedOn w:val="Normal"/>
    <w:next w:val="Normal"/>
    <w:link w:val="TitreCar"/>
    <w:uiPriority w:val="10"/>
    <w:qFormat/>
    <w:rsid w:val="00D10E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10E1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10E1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10E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10E11"/>
    <w:pPr>
      <w:spacing w:before="160"/>
      <w:jc w:val="center"/>
    </w:pPr>
    <w:rPr>
      <w:i/>
      <w:iCs/>
      <w:color w:val="404040" w:themeColor="text1" w:themeTint="BF"/>
    </w:rPr>
  </w:style>
  <w:style w:type="character" w:customStyle="1" w:styleId="CitationCar">
    <w:name w:val="Citation Car"/>
    <w:basedOn w:val="Policepardfaut"/>
    <w:link w:val="Citation"/>
    <w:uiPriority w:val="29"/>
    <w:rsid w:val="00D10E11"/>
    <w:rPr>
      <w:i/>
      <w:iCs/>
      <w:color w:val="404040" w:themeColor="text1" w:themeTint="BF"/>
    </w:rPr>
  </w:style>
  <w:style w:type="paragraph" w:styleId="Paragraphedeliste">
    <w:name w:val="List Paragraph"/>
    <w:basedOn w:val="Normal"/>
    <w:uiPriority w:val="34"/>
    <w:qFormat/>
    <w:rsid w:val="00D10E11"/>
    <w:pPr>
      <w:ind w:left="720"/>
      <w:contextualSpacing/>
    </w:pPr>
  </w:style>
  <w:style w:type="character" w:styleId="Accentuationintense">
    <w:name w:val="Intense Emphasis"/>
    <w:basedOn w:val="Policepardfaut"/>
    <w:uiPriority w:val="21"/>
    <w:qFormat/>
    <w:rsid w:val="00D10E11"/>
    <w:rPr>
      <w:i/>
      <w:iCs/>
      <w:color w:val="2F5496" w:themeColor="accent1" w:themeShade="BF"/>
    </w:rPr>
  </w:style>
  <w:style w:type="paragraph" w:styleId="Citationintense">
    <w:name w:val="Intense Quote"/>
    <w:basedOn w:val="Normal"/>
    <w:next w:val="Normal"/>
    <w:link w:val="CitationintenseCar"/>
    <w:uiPriority w:val="30"/>
    <w:qFormat/>
    <w:rsid w:val="00D10E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D10E11"/>
    <w:rPr>
      <w:i/>
      <w:iCs/>
      <w:color w:val="2F5496" w:themeColor="accent1" w:themeShade="BF"/>
    </w:rPr>
  </w:style>
  <w:style w:type="character" w:styleId="Rfrenceintense">
    <w:name w:val="Intense Reference"/>
    <w:basedOn w:val="Policepardfaut"/>
    <w:uiPriority w:val="32"/>
    <w:qFormat/>
    <w:rsid w:val="00D10E1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1686</Characters>
  <Application>Microsoft Office Word</Application>
  <DocSecurity>0</DocSecurity>
  <Lines>27</Lines>
  <Paragraphs>16</Paragraphs>
  <ScaleCrop>false</ScaleCrop>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BUSSON</dc:creator>
  <cp:keywords/>
  <dc:description/>
  <cp:lastModifiedBy>Serge Dominique</cp:lastModifiedBy>
  <cp:revision>3</cp:revision>
  <dcterms:created xsi:type="dcterms:W3CDTF">2025-10-26T18:47:00Z</dcterms:created>
  <dcterms:modified xsi:type="dcterms:W3CDTF">2025-10-26T18:47:00Z</dcterms:modified>
</cp:coreProperties>
</file>